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C09" w:rsidRDefault="00421B2A">
      <w:pPr>
        <w:spacing w:after="0" w:line="240" w:lineRule="auto"/>
        <w:jc w:val="center"/>
        <w:rPr>
          <w:highlight w:val="white"/>
        </w:rPr>
      </w:pPr>
      <w:bookmarkStart w:id="0" w:name="_GoBack"/>
      <w:r>
        <w:rPr>
          <w:rFonts w:ascii="Times New Roman" w:hAnsi="Times New Roman"/>
          <w:b/>
          <w:bCs/>
          <w:highlight w:val="white"/>
        </w:rPr>
        <w:t>Соглашение</w:t>
      </w:r>
      <w:r>
        <w:rPr>
          <w:rFonts w:ascii="Times New Roman" w:hAnsi="Times New Roman"/>
          <w:highlight w:val="white"/>
        </w:rPr>
        <w:t xml:space="preserve"> </w:t>
      </w:r>
    </w:p>
    <w:p w:rsidR="005A4C09" w:rsidRDefault="00421B2A">
      <w:pPr>
        <w:spacing w:after="0" w:line="240" w:lineRule="auto"/>
        <w:jc w:val="center"/>
        <w:rPr>
          <w:rFonts w:ascii="Times New Roman" w:hAnsi="Times New Roman"/>
          <w:b/>
          <w:bCs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об использовании простой электронной подписи в рамках электронного документооборота</w:t>
      </w:r>
    </w:p>
    <w:bookmarkEnd w:id="0"/>
    <w:p w:rsidR="005A4C09" w:rsidRDefault="005A4C09">
      <w:pPr>
        <w:spacing w:after="0" w:line="240" w:lineRule="auto"/>
        <w:jc w:val="center"/>
        <w:rPr>
          <w:rFonts w:ascii="Times New Roman" w:hAnsi="Times New Roman"/>
          <w:b/>
          <w:highlight w:val="white"/>
        </w:rPr>
      </w:pPr>
    </w:p>
    <w:p w:rsidR="005A4C09" w:rsidRDefault="00421B2A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 xml:space="preserve">Акционерное общество «Газпром газораспределение Челябинск», именуемое в дальнейшем </w:t>
      </w:r>
      <w:r>
        <w:rPr>
          <w:rFonts w:ascii="Times New Roman" w:eastAsia="Times New Roman" w:hAnsi="Times New Roman"/>
          <w:b/>
          <w:bCs/>
          <w:sz w:val="20"/>
          <w:szCs w:val="20"/>
          <w:highlight w:val="white"/>
        </w:rPr>
        <w:t>ГРО</w:t>
      </w:r>
      <w:r>
        <w:rPr>
          <w:rFonts w:ascii="Times New Roman" w:eastAsia="Times New Roman" w:hAnsi="Times New Roman"/>
          <w:sz w:val="20"/>
          <w:szCs w:val="20"/>
          <w:highlight w:val="white"/>
        </w:rPr>
        <w:t xml:space="preserve">, в лице _______________________________, действующей(его) на основании ____________________, с одной стороны, и 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Фамилия ________________________________________________________________________________________________</w:t>
      </w:r>
    </w:p>
    <w:p w:rsidR="005A4C09" w:rsidRDefault="00421B2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Имя_____________________________________________________________________________________________________</w:t>
      </w:r>
    </w:p>
    <w:p w:rsidR="005A4C09" w:rsidRDefault="00421B2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Отчество________________________________________________________________________________________________</w:t>
      </w:r>
    </w:p>
    <w:p w:rsidR="005A4C09" w:rsidRDefault="00421B2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паспортные данные</w:t>
      </w:r>
      <w:r>
        <w:rPr>
          <w:rFonts w:ascii="Times New Roman" w:eastAsia="Times New Roman" w:hAnsi="Times New Roman"/>
          <w:i/>
          <w:sz w:val="20"/>
          <w:szCs w:val="20"/>
          <w:highlight w:val="white"/>
        </w:rPr>
        <w:t xml:space="preserve"> _________________________________________________________________________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highlight w:val="white"/>
        </w:rPr>
        <w:t>______________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sz w:val="20"/>
          <w:szCs w:val="20"/>
          <w:highlight w:val="white"/>
        </w:rPr>
        <w:t>_________________________________________________________________________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highlight w:val="white"/>
        </w:rPr>
        <w:t>_______________________________</w:t>
      </w:r>
    </w:p>
    <w:p w:rsidR="005A4C09" w:rsidRDefault="00421B2A"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ИНН____________________________________________________СНИЛС__________________________________________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 xml:space="preserve">дата </w:t>
      </w: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(число, месяц)</w:t>
      </w:r>
      <w:r>
        <w:rPr>
          <w:rFonts w:ascii="Times New Roman" w:eastAsia="Times New Roman" w:hAnsi="Times New Roman"/>
          <w:sz w:val="20"/>
          <w:szCs w:val="20"/>
          <w:highlight w:val="white"/>
        </w:rPr>
        <w:t xml:space="preserve"> и год рождения____________ место рождения __________________________________________________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номер телефона __________________________________________________________________________________________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адрес регистрации: _______________________________________________________________________________________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proofErr w:type="spellStart"/>
      <w:r>
        <w:rPr>
          <w:rFonts w:ascii="Times New Roman" w:eastAsia="Times New Roman" w:hAnsi="Times New Roman"/>
          <w:sz w:val="20"/>
          <w:szCs w:val="20"/>
          <w:highlight w:val="white"/>
        </w:rPr>
        <w:t>e-mail</w:t>
      </w:r>
      <w:proofErr w:type="spellEnd"/>
      <w:r>
        <w:rPr>
          <w:rFonts w:ascii="Times New Roman" w:eastAsia="Times New Roman" w:hAnsi="Times New Roman"/>
          <w:sz w:val="20"/>
          <w:szCs w:val="20"/>
          <w:highlight w:val="white"/>
        </w:rPr>
        <w:t xml:space="preserve"> __________________________________________________________________________________________________,</w:t>
      </w:r>
    </w:p>
    <w:p w:rsidR="005A4C09" w:rsidRDefault="00421B2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именуемый(</w:t>
      </w:r>
      <w:proofErr w:type="spellStart"/>
      <w:r>
        <w:rPr>
          <w:rFonts w:ascii="Times New Roman" w:eastAsia="Times New Roman" w:hAnsi="Times New Roman"/>
          <w:sz w:val="20"/>
          <w:szCs w:val="20"/>
          <w:highlight w:val="white"/>
        </w:rPr>
        <w:t>ая</w:t>
      </w:r>
      <w:proofErr w:type="spellEnd"/>
      <w:r>
        <w:rPr>
          <w:rFonts w:ascii="Times New Roman" w:eastAsia="Times New Roman" w:hAnsi="Times New Roman"/>
          <w:sz w:val="20"/>
          <w:szCs w:val="20"/>
          <w:highlight w:val="white"/>
        </w:rPr>
        <w:t xml:space="preserve">) в дальнейшем </w:t>
      </w:r>
      <w:r>
        <w:rPr>
          <w:rFonts w:ascii="Times New Roman" w:eastAsia="Times New Roman" w:hAnsi="Times New Roman"/>
          <w:b/>
          <w:bCs/>
          <w:sz w:val="20"/>
          <w:szCs w:val="20"/>
          <w:highlight w:val="white"/>
        </w:rPr>
        <w:t>Абонент</w:t>
      </w:r>
      <w:r>
        <w:rPr>
          <w:rFonts w:ascii="Times New Roman" w:eastAsia="Times New Roman" w:hAnsi="Times New Roman"/>
          <w:sz w:val="20"/>
          <w:szCs w:val="20"/>
          <w:highlight w:val="white"/>
        </w:rPr>
        <w:t xml:space="preserve">, </w:t>
      </w: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в лице________________________________________________________________,</w:t>
      </w:r>
    </w:p>
    <w:p w:rsidR="005A4C09" w:rsidRDefault="00421B2A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действующей(его) на основании ____________________________________________________________________________</w:t>
      </w:r>
      <w:r>
        <w:rPr>
          <w:rStyle w:val="ae"/>
          <w:rFonts w:ascii="Times New Roman" w:eastAsia="Times New Roman" w:hAnsi="Times New Roman"/>
          <w:i/>
          <w:iCs/>
          <w:sz w:val="20"/>
          <w:szCs w:val="20"/>
          <w:highlight w:val="white"/>
        </w:rPr>
        <w:footnoteReference w:id="2"/>
      </w:r>
    </w:p>
    <w:p w:rsidR="005A4C09" w:rsidRDefault="00421B2A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действующей(его) как законный представитель ________________________</w:t>
      </w:r>
      <w:proofErr w:type="gramStart"/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_(</w:t>
      </w:r>
      <w:proofErr w:type="gramEnd"/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степень родства или решение о назначении недееспособному лицу опекуна) :</w:t>
      </w:r>
    </w:p>
    <w:p w:rsidR="005A4C09" w:rsidRDefault="00421B2A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Фамилия_________________________________________________________________________________________________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Имя_____________________________________________________________________________________________________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Отчество_______________________________________________________________________________________________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паспортные данные_______________________________________________________________________________________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________________________________________________________________________________________________________</w:t>
      </w:r>
    </w:p>
    <w:p w:rsidR="005A4C09" w:rsidRDefault="00421B2A">
      <w:pPr>
        <w:spacing w:after="0" w:line="240" w:lineRule="auto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ИНН__________________________________________СНИЛС___________________________________________________</w:t>
      </w:r>
    </w:p>
    <w:p w:rsidR="005A4C09" w:rsidRDefault="00421B2A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дата (число, месяц) и год рождения______________, место рождения _____________________, свидетельство о рождении № _________________ от _____________ выданное: __________________________________________________________</w:t>
      </w:r>
      <w:r>
        <w:rPr>
          <w:rStyle w:val="ae"/>
          <w:rFonts w:ascii="Times New Roman" w:eastAsia="Times New Roman" w:hAnsi="Times New Roman"/>
          <w:i/>
          <w:iCs/>
          <w:sz w:val="20"/>
          <w:szCs w:val="20"/>
          <w:highlight w:val="white"/>
        </w:rPr>
        <w:footnoteReference w:id="3"/>
      </w:r>
    </w:p>
    <w:p w:rsidR="005A4C09" w:rsidRDefault="00421B2A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действующей(его) с письменного согласия своего законного представителя ________</w:t>
      </w:r>
      <w:proofErr w:type="gramStart"/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_(</w:t>
      </w:r>
      <w:proofErr w:type="gramEnd"/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 xml:space="preserve">степень родства или решение о назначении лицу, чья дееспособность ограничена, попечителя): 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bCs/>
          <w:i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Фамилия_________________________________________________________________________________________________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Имя_____________________________________________________________________________________________________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Отчество_______________________________________________________________________________________________</w:t>
      </w:r>
      <w:r>
        <w:rPr>
          <w:rStyle w:val="ae"/>
          <w:rFonts w:ascii="Times New Roman" w:hAnsi="Times New Roman"/>
          <w:i/>
          <w:iCs/>
          <w:sz w:val="20"/>
          <w:szCs w:val="20"/>
          <w:highlight w:val="white"/>
        </w:rPr>
        <w:footnoteReference w:id="4"/>
      </w:r>
    </w:p>
    <w:p w:rsidR="005A4C09" w:rsidRDefault="00421B2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с другой стороны, далее совместно именуемые «Стороны», заключили настоящее соглашение об использовании электронной подписи в рамках электронного документооборота (далее по тексту – Соглашение) о нижеследующем:</w:t>
      </w:r>
    </w:p>
    <w:p w:rsidR="005A4C09" w:rsidRDefault="005A4C09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</w:p>
    <w:p w:rsidR="005A4C09" w:rsidRDefault="00421B2A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1. Термины и определения</w:t>
      </w:r>
    </w:p>
    <w:p w:rsidR="005A4C09" w:rsidRDefault="00421B2A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 xml:space="preserve">Абонент – </w:t>
      </w:r>
      <w:r>
        <w:rPr>
          <w:rFonts w:ascii="Times New Roman" w:eastAsia="Times New Roman" w:hAnsi="Times New Roman"/>
          <w:highlight w:val="white"/>
        </w:rPr>
        <w:t xml:space="preserve">физическое лицо, заключившее или намеревающееся заключить один или несколько из нижеперечисленных договоров </w:t>
      </w:r>
      <w:r>
        <w:rPr>
          <w:rFonts w:ascii="Times New Roman" w:eastAsia="Times New Roman" w:hAnsi="Times New Roman"/>
          <w:color w:val="000000" w:themeColor="text1"/>
          <w:highlight w:val="white"/>
        </w:rPr>
        <w:t>(далее совместно – Договоры)</w:t>
      </w:r>
      <w:r>
        <w:rPr>
          <w:rFonts w:ascii="Times New Roman" w:eastAsia="Times New Roman" w:hAnsi="Times New Roman"/>
          <w:highlight w:val="white"/>
        </w:rPr>
        <w:t>:</w:t>
      </w:r>
    </w:p>
    <w:p w:rsidR="005A4C09" w:rsidRDefault="00421B2A">
      <w:pPr>
        <w:pStyle w:val="aff2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договор на транспортировку газа, либо на поставку и транспортировку газа;</w:t>
      </w:r>
    </w:p>
    <w:p w:rsidR="005A4C09" w:rsidRDefault="00421B2A">
      <w:pPr>
        <w:pStyle w:val="aff2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договор о техническом обслуживании (далее - ТО) и ремонте внутридомового газового оборудования (далее - ВДГО) в </w:t>
      </w:r>
      <w:r>
        <w:rPr>
          <w:rFonts w:ascii="Times New Roman" w:eastAsia="Times New Roman" w:hAnsi="Times New Roman"/>
          <w:color w:val="000000"/>
          <w:sz w:val="24"/>
        </w:rPr>
        <w:t>многоквартирном доме</w:t>
      </w:r>
      <w:r>
        <w:rPr>
          <w:rFonts w:ascii="Times New Roman" w:eastAsia="Times New Roman" w:hAnsi="Times New Roman"/>
          <w:highlight w:val="white"/>
        </w:rPr>
        <w:t xml:space="preserve"> (далее - МКД);</w:t>
      </w:r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highlight w:val="white"/>
        </w:rPr>
        <w:t xml:space="preserve"> </w:t>
      </w:r>
    </w:p>
    <w:p w:rsidR="005A4C09" w:rsidRDefault="00421B2A">
      <w:pPr>
        <w:pStyle w:val="aff2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highlight w:val="white"/>
        </w:rPr>
        <w:t xml:space="preserve">договор о ТО внутриквартирного газового оборудования (далее - ВКГО) </w:t>
      </w:r>
      <w:r>
        <w:rPr>
          <w:rFonts w:ascii="Times New Roman" w:eastAsia="Times New Roman" w:hAnsi="Times New Roman"/>
          <w:color w:val="000000"/>
          <w:sz w:val="24"/>
        </w:rPr>
        <w:t>в МКД</w:t>
      </w:r>
      <w:r>
        <w:rPr>
          <w:rFonts w:ascii="Times New Roman" w:eastAsia="Times New Roman" w:hAnsi="Times New Roman"/>
          <w:highlight w:val="white"/>
        </w:rPr>
        <w:t>;</w:t>
      </w:r>
    </w:p>
    <w:p w:rsidR="005A4C09" w:rsidRDefault="00421B2A">
      <w:pPr>
        <w:pStyle w:val="aff2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color w:val="000000"/>
          <w:sz w:val="24"/>
        </w:rPr>
        <w:t>договор о ТО ВДГО в жилом доме (домовладении);</w:t>
      </w:r>
    </w:p>
    <w:p w:rsidR="005A4C09" w:rsidRDefault="00421B2A">
      <w:pPr>
        <w:pStyle w:val="aff2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договор о подключении (технологическом присоединении) газоиспользующего оборудования и объектов капитального строительства к сети газораспределения (далее - договор ТП);</w:t>
      </w:r>
    </w:p>
    <w:p w:rsidR="005A4C09" w:rsidRDefault="00421B2A">
      <w:pPr>
        <w:pStyle w:val="aff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highlight w:val="white"/>
        </w:rPr>
        <w:t>договор</w:t>
      </w:r>
      <w:r>
        <w:rPr>
          <w:rFonts w:ascii="Times New Roman" w:eastAsia="Times New Roman" w:hAnsi="Times New Roman"/>
          <w:color w:val="000000" w:themeColor="text1"/>
          <w:highlight w:val="white"/>
        </w:rPr>
        <w:t> о подключении (технологическом присоединении) газоиспользующего оборудования к сети газораспределения в рамках догазификации (далее - договор ТП в рамках догазификации).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b/>
          <w:bCs/>
          <w:highlight w:val="white"/>
        </w:rPr>
      </w:pPr>
      <w:proofErr w:type="spellStart"/>
      <w:r>
        <w:rPr>
          <w:rFonts w:ascii="Times New Roman" w:hAnsi="Times New Roman"/>
          <w:b/>
          <w:bCs/>
        </w:rPr>
        <w:t>Аутентификационные</w:t>
      </w:r>
      <w:proofErr w:type="spellEnd"/>
      <w:r>
        <w:rPr>
          <w:rFonts w:ascii="Times New Roman" w:hAnsi="Times New Roman"/>
          <w:b/>
          <w:bCs/>
        </w:rPr>
        <w:t xml:space="preserve"> данные</w:t>
      </w:r>
      <w:r>
        <w:rPr>
          <w:rFonts w:ascii="Times New Roman" w:hAnsi="Times New Roman"/>
        </w:rPr>
        <w:t xml:space="preserve"> - Пароль, СМС - код.</w:t>
      </w:r>
    </w:p>
    <w:p w:rsidR="005A4C09" w:rsidRDefault="00421B2A">
      <w:pPr>
        <w:spacing w:after="0" w:line="240" w:lineRule="auto"/>
        <w:jc w:val="both"/>
        <w:rPr>
          <w:rStyle w:val="aff3"/>
          <w:rFonts w:ascii="Times New Roman" w:hAnsi="Times New Roman"/>
          <w:b w:val="0"/>
          <w:bCs w:val="0"/>
        </w:rPr>
      </w:pPr>
      <w:r>
        <w:rPr>
          <w:rStyle w:val="aff3"/>
          <w:rFonts w:ascii="Times New Roman" w:hAnsi="Times New Roman"/>
          <w:highlight w:val="white"/>
          <w:shd w:val="clear" w:color="auto" w:fill="FFFFFF"/>
        </w:rPr>
        <w:t xml:space="preserve">Аутентификация - </w:t>
      </w:r>
      <w:r>
        <w:rPr>
          <w:rStyle w:val="aff3"/>
          <w:rFonts w:ascii="Times New Roman" w:hAnsi="Times New Roman"/>
          <w:b w:val="0"/>
          <w:bCs w:val="0"/>
          <w:highlight w:val="white"/>
          <w:shd w:val="clear" w:color="auto" w:fill="FFFFFF"/>
        </w:rPr>
        <w:t xml:space="preserve">процесс (процедура) проверки подлинности Идентификационных данных Абонента путем их соотнесения с </w:t>
      </w:r>
      <w:proofErr w:type="spellStart"/>
      <w:r>
        <w:rPr>
          <w:rStyle w:val="aff3"/>
          <w:rFonts w:ascii="Times New Roman" w:hAnsi="Times New Roman"/>
          <w:b w:val="0"/>
          <w:bCs w:val="0"/>
          <w:highlight w:val="white"/>
          <w:shd w:val="clear" w:color="auto" w:fill="FFFFFF"/>
        </w:rPr>
        <w:t>Аутентификационными</w:t>
      </w:r>
      <w:proofErr w:type="spellEnd"/>
      <w:r>
        <w:rPr>
          <w:rStyle w:val="aff3"/>
          <w:rFonts w:ascii="Times New Roman" w:hAnsi="Times New Roman"/>
          <w:b w:val="0"/>
          <w:bCs w:val="0"/>
          <w:highlight w:val="white"/>
          <w:shd w:val="clear" w:color="auto" w:fill="FFFFFF"/>
        </w:rPr>
        <w:t xml:space="preserve"> данными (у</w:t>
      </w:r>
      <w:r>
        <w:rPr>
          <w:rStyle w:val="aff3"/>
          <w:rFonts w:ascii="Times New Roman" w:hAnsi="Times New Roman"/>
          <w:b w:val="0"/>
          <w:highlight w:val="white"/>
          <w:shd w:val="clear" w:color="auto" w:fill="FFFFFF"/>
        </w:rPr>
        <w:t>становление личности Абонента)</w:t>
      </w:r>
      <w:r>
        <w:rPr>
          <w:rFonts w:ascii="Times New Roman" w:hAnsi="Times New Roman"/>
          <w:b/>
          <w:highlight w:val="white"/>
        </w:rPr>
        <w:t>.</w:t>
      </w:r>
    </w:p>
    <w:p w:rsidR="005A4C09" w:rsidRDefault="00421B2A">
      <w:pPr>
        <w:spacing w:after="0" w:line="240" w:lineRule="auto"/>
        <w:jc w:val="both"/>
        <w:rPr>
          <w:rFonts w:ascii="Times New Roman" w:eastAsia="Times New Roman" w:hAnsi="Times New Roman"/>
          <w:b/>
          <w:bCs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 xml:space="preserve">Закон об электронной подписи (Закон об ЭП) – </w:t>
      </w:r>
      <w:r>
        <w:rPr>
          <w:rFonts w:ascii="Times New Roman" w:eastAsia="Times New Roman" w:hAnsi="Times New Roman"/>
          <w:highlight w:val="white"/>
        </w:rPr>
        <w:t xml:space="preserve">Федеральный закон от 06.04.2011 № 63-ФЗ «Об электронной подписи». 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lastRenderedPageBreak/>
        <w:t>Зарегистрированный номер</w:t>
      </w:r>
      <w:r>
        <w:rPr>
          <w:rFonts w:ascii="Times New Roman" w:eastAsia="Times New Roman" w:hAnsi="Times New Roman"/>
          <w:highlight w:val="white"/>
        </w:rPr>
        <w:t xml:space="preserve"> – номер мобильного телефона Абонента, указанный и подтвержденный Абонентом в процессе подписания Соглашения и/или Регистрации на Сайте/в Мобильном приложении (в случаях смены, утери и т. д. действующего номера - в ходе последующего изменения данных Абонента) в соответствии с установленной процедурой.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Зарегистрированный почтовый ящик</w:t>
      </w:r>
      <w:r>
        <w:rPr>
          <w:rFonts w:ascii="Times New Roman" w:eastAsia="Times New Roman" w:hAnsi="Times New Roman"/>
          <w:highlight w:val="white"/>
        </w:rPr>
        <w:t xml:space="preserve"> – адрес электронной почты (</w:t>
      </w:r>
      <w:proofErr w:type="spellStart"/>
      <w:r>
        <w:rPr>
          <w:rFonts w:ascii="Times New Roman" w:eastAsia="Times New Roman" w:hAnsi="Times New Roman"/>
          <w:highlight w:val="white"/>
        </w:rPr>
        <w:t>e-mail</w:t>
      </w:r>
      <w:proofErr w:type="spellEnd"/>
      <w:r>
        <w:rPr>
          <w:rFonts w:ascii="Times New Roman" w:eastAsia="Times New Roman" w:hAnsi="Times New Roman"/>
          <w:highlight w:val="white"/>
        </w:rPr>
        <w:t xml:space="preserve">) </w:t>
      </w:r>
      <w:proofErr w:type="gramStart"/>
      <w:r>
        <w:rPr>
          <w:rFonts w:ascii="Times New Roman" w:eastAsia="Times New Roman" w:hAnsi="Times New Roman"/>
          <w:highlight w:val="white"/>
        </w:rPr>
        <w:t>Абонента,  указанный</w:t>
      </w:r>
      <w:proofErr w:type="gramEnd"/>
      <w:r>
        <w:rPr>
          <w:rFonts w:ascii="Times New Roman" w:eastAsia="Times New Roman" w:hAnsi="Times New Roman"/>
          <w:highlight w:val="white"/>
        </w:rPr>
        <w:t xml:space="preserve"> Абонентом в процессе подписания Соглашения и/или Регистрации на Сайте/в Мобильном приложении.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Идентификатор</w:t>
      </w:r>
      <w:r>
        <w:rPr>
          <w:rFonts w:ascii="Times New Roman" w:eastAsia="Times New Roman" w:hAnsi="Times New Roman"/>
          <w:highlight w:val="white"/>
        </w:rPr>
        <w:t xml:space="preserve"> – уникальный символьный код, который автоматически формируется Системой в случае использования Абонентом предоставленного ему СМС-кода для подписания электронных документов. Идентификатор автоматически включается в электронный документ, подписываемый в Системе, и подтверждает факт подписания соответствующего документа Абонентом. Документ, подписанный указанным образом, считается равнозначным документу на бумажном носителе, подписанному Абонентом собственноручной подписью.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Идентификационные данные </w:t>
      </w:r>
      <w:r>
        <w:rPr>
          <w:rFonts w:ascii="Times New Roman" w:hAnsi="Times New Roman"/>
        </w:rPr>
        <w:t>- Логин, Зарегистрированный номер, Зарегистрированный почтовый ящик.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bCs/>
          <w:highlight w:val="white"/>
        </w:rPr>
        <w:t>Идентификация –</w:t>
      </w:r>
      <w:r>
        <w:rPr>
          <w:rFonts w:ascii="Times New Roman" w:hAnsi="Times New Roman"/>
          <w:b/>
          <w:highlight w:val="white"/>
        </w:rPr>
        <w:t xml:space="preserve"> </w:t>
      </w:r>
      <w:r>
        <w:rPr>
          <w:rStyle w:val="aff3"/>
          <w:rFonts w:ascii="Times New Roman" w:hAnsi="Times New Roman"/>
          <w:b w:val="0"/>
          <w:highlight w:val="white"/>
          <w:shd w:val="clear" w:color="auto" w:fill="FFFFFF"/>
        </w:rPr>
        <w:t>процесс (процедура) распознавания Абонента при внесении им Идентификационных данных на Сайте или в Мобильном приложении.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Личный кабинет</w:t>
      </w:r>
      <w:r>
        <w:rPr>
          <w:rFonts w:ascii="Times New Roman" w:eastAsia="Times New Roman" w:hAnsi="Times New Roman"/>
          <w:highlight w:val="white"/>
        </w:rPr>
        <w:t xml:space="preserve"> –</w:t>
      </w: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 информационная подсистема Сайта или Мобильного приложения, которая создается для </w:t>
      </w:r>
      <w:proofErr w:type="gramStart"/>
      <w:r>
        <w:rPr>
          <w:rFonts w:ascii="Times New Roman" w:eastAsia="Times New Roman" w:hAnsi="Times New Roman"/>
          <w:color w:val="000000" w:themeColor="text1"/>
          <w:highlight w:val="white"/>
        </w:rPr>
        <w:t>Абонента  в</w:t>
      </w:r>
      <w:proofErr w:type="gramEnd"/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момент его регистрации на Сайте или в Мобильном приложении. Эта страница, доступная по определенному адресу, служит основным инструментом для дистанционного взаимодействия между Абонентом и ГРО, позволяя им обмениваться информацией и совершать юридически значимые действия в электронном формате на протяжении всего срока действия Договоров.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Логин</w:t>
      </w:r>
      <w:r>
        <w:rPr>
          <w:rFonts w:ascii="Times New Roman" w:eastAsia="Times New Roman" w:hAnsi="Times New Roman"/>
          <w:highlight w:val="white"/>
        </w:rPr>
        <w:t xml:space="preserve"> – символьное обозначение, используемое для Идентификации Абонента в целях предоставления ему доступа к Личному кабинету на Сайте или в Мобильном приложении.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 xml:space="preserve">Мобильное </w:t>
      </w:r>
      <w:proofErr w:type="gramStart"/>
      <w:r>
        <w:rPr>
          <w:rFonts w:ascii="Times New Roman" w:eastAsia="Times New Roman" w:hAnsi="Times New Roman"/>
          <w:b/>
          <w:highlight w:val="white"/>
        </w:rPr>
        <w:t xml:space="preserve">приложение </w:t>
      </w:r>
      <w:moveFromRangeStart w:id="1" w:author="" w:name="undefined"/>
      <w:moveFromRangeEnd w:id="1"/>
      <w:r>
        <w:rPr>
          <w:rFonts w:ascii="Times New Roman" w:eastAsia="Times New Roman" w:hAnsi="Times New Roman"/>
          <w:highlight w:val="white"/>
        </w:rPr>
        <w:t xml:space="preserve"> –</w:t>
      </w:r>
      <w:proofErr w:type="gramEnd"/>
      <w:r>
        <w:rPr>
          <w:rFonts w:ascii="Times New Roman" w:eastAsia="Times New Roman" w:hAnsi="Times New Roman"/>
          <w:highlight w:val="white"/>
        </w:rPr>
        <w:t xml:space="preserve"> программное обеспечение ГРО, услугами и сервисами которого пользуется Абонент.</w:t>
      </w:r>
    </w:p>
    <w:p w:rsidR="005A4C09" w:rsidRDefault="00421B2A">
      <w:pPr>
        <w:spacing w:after="0" w:line="240" w:lineRule="auto"/>
        <w:jc w:val="both"/>
        <w:rPr>
          <w:rStyle w:val="aff3"/>
          <w:rFonts w:ascii="Times New Roman" w:hAnsi="Times New Roman"/>
          <w:b w:val="0"/>
          <w:bCs w:val="0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Пароль</w:t>
      </w:r>
      <w:r>
        <w:rPr>
          <w:rFonts w:ascii="Times New Roman" w:eastAsia="Times New Roman" w:hAnsi="Times New Roman"/>
          <w:highlight w:val="white"/>
        </w:rPr>
        <w:t xml:space="preserve"> – конфиденциальное символьное обозначение, созданное Абонентом в Сервисе ГРО и используемое для Аутентификации Абонента в целях предоставления ему доступа к Личному кабинету на Сайте или через Мобильное приложение</w:t>
      </w:r>
    </w:p>
    <w:p w:rsidR="005A4C09" w:rsidRDefault="00421B2A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highlight w:val="white"/>
        </w:rPr>
        <w:t>ГРО</w:t>
      </w:r>
      <w:r>
        <w:rPr>
          <w:rFonts w:ascii="Times New Roman" w:eastAsia="Times New Roman" w:hAnsi="Times New Roman"/>
          <w:highlight w:val="white"/>
        </w:rPr>
        <w:t xml:space="preserve"> </w:t>
      </w:r>
      <w:r>
        <w:rPr>
          <w:rFonts w:ascii="Times New Roman" w:eastAsia="Times New Roman" w:hAnsi="Times New Roman"/>
          <w:b/>
          <w:highlight w:val="white"/>
        </w:rPr>
        <w:t>–</w:t>
      </w:r>
      <w:r>
        <w:rPr>
          <w:rFonts w:ascii="Times New Roman" w:eastAsia="Times New Roman" w:hAnsi="Times New Roman"/>
          <w:highlight w:val="white"/>
        </w:rPr>
        <w:t xml:space="preserve"> газораспределительная организация, являющаяся Стороной договора транспортировки газа, либо договора поставки и транспортировки газа, либо специализированная организация, являющаяся исполнителем по договору </w:t>
      </w:r>
      <w:proofErr w:type="gramStart"/>
      <w:r>
        <w:rPr>
          <w:rFonts w:ascii="Times New Roman" w:eastAsia="Times New Roman" w:hAnsi="Times New Roman"/>
          <w:highlight w:val="white"/>
        </w:rPr>
        <w:t>о  ТО</w:t>
      </w:r>
      <w:proofErr w:type="gramEnd"/>
      <w:r>
        <w:rPr>
          <w:rFonts w:ascii="Times New Roman" w:eastAsia="Times New Roman" w:hAnsi="Times New Roman"/>
          <w:highlight w:val="white"/>
        </w:rPr>
        <w:t xml:space="preserve"> и ремонте ВДГО в МКД, или по договору о ТО ВКГО в МКД, или по договору о ТО ВДГО в жилом доме (домовладении), либо газораспределительная организация, являющаяся исполнителем по договору ТП или договору ТП в рамках догазификации.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 xml:space="preserve">Профиль </w:t>
      </w:r>
      <w:r>
        <w:rPr>
          <w:rFonts w:ascii="Times New Roman" w:eastAsia="Times New Roman" w:hAnsi="Times New Roman"/>
          <w:highlight w:val="white"/>
        </w:rPr>
        <w:t>– совокупность данных об Абоненте, необходимая для его распознавания и предоставления доступа в Личный кабинет.</w:t>
      </w:r>
    </w:p>
    <w:p w:rsidR="005A4C09" w:rsidRDefault="00421B2A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highlight w:val="white"/>
        </w:rPr>
        <w:t xml:space="preserve">ПЭП </w:t>
      </w:r>
      <w:r>
        <w:rPr>
          <w:rFonts w:ascii="Times New Roman" w:eastAsia="Times New Roman" w:hAnsi="Times New Roman"/>
          <w:highlight w:val="white"/>
        </w:rPr>
        <w:t xml:space="preserve">– простая электронная подпись, сформированная Абонентом для подписания электронного документа в Личном кабинете на Сайте или в Мобильном приложении, соответствующая признакам и требованиям, предъявляемым к простой электронной подписи Законом </w:t>
      </w:r>
      <w:proofErr w:type="gramStart"/>
      <w:r>
        <w:rPr>
          <w:rFonts w:ascii="Times New Roman" w:eastAsia="Times New Roman" w:hAnsi="Times New Roman"/>
          <w:highlight w:val="white"/>
        </w:rPr>
        <w:t>об  ЭП</w:t>
      </w:r>
      <w:proofErr w:type="gramEnd"/>
      <w:r>
        <w:rPr>
          <w:rFonts w:ascii="Times New Roman" w:eastAsia="Times New Roman" w:hAnsi="Times New Roman"/>
          <w:highlight w:val="white"/>
        </w:rPr>
        <w:t>, и используемая для определения лица, подписавшего электронный документ.</w:t>
      </w:r>
    </w:p>
    <w:p w:rsidR="005A4C09" w:rsidRDefault="00421B2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Регистрация</w:t>
      </w:r>
      <w:r>
        <w:rPr>
          <w:rFonts w:ascii="Times New Roman" w:eastAsia="Times New Roman" w:hAnsi="Times New Roman"/>
          <w:highlight w:val="white"/>
        </w:rPr>
        <w:t xml:space="preserve"> –</w:t>
      </w: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процедура создания индивидуального Профиля Абонента на Сайте и/или в Мобильном приложении.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Сайт</w:t>
      </w:r>
      <w:r>
        <w:rPr>
          <w:rFonts w:ascii="Times New Roman" w:eastAsia="Times New Roman" w:hAnsi="Times New Roman"/>
          <w:highlight w:val="white"/>
        </w:rPr>
        <w:t xml:space="preserve"> – официальный сайт ГРО в сети Интернет, доступ к которому осуществляется по адресу </w:t>
      </w:r>
      <w:r>
        <w:rPr>
          <w:rFonts w:ascii="Times New Roman" w:eastAsia="Times New Roman" w:hAnsi="Times New Roman"/>
        </w:rPr>
        <w:t>https://www.gazcom74.ru</w:t>
      </w:r>
      <w:r>
        <w:rPr>
          <w:rFonts w:ascii="Times New Roman" w:eastAsia="Times New Roman" w:hAnsi="Times New Roman"/>
          <w:highlight w:val="white"/>
        </w:rPr>
        <w:t>.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 xml:space="preserve">Сервис </w:t>
      </w:r>
      <w:r>
        <w:rPr>
          <w:rFonts w:ascii="Times New Roman" w:eastAsia="Times New Roman" w:hAnsi="Times New Roman"/>
          <w:highlight w:val="white"/>
        </w:rPr>
        <w:t>– предоставляемая Абоненту персональная защищенная страница на Сайте или в Мобильном приложении, которая позволяет Абоненту и ГРО осуществлять дистанционное взаимодействие и совершать юридически значимые действия в электронной форме в процессе исполнения Договоров.</w:t>
      </w:r>
    </w:p>
    <w:p w:rsidR="005A4C09" w:rsidRDefault="00421B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b/>
          <w:color w:val="000000" w:themeColor="text1"/>
          <w:highlight w:val="white"/>
        </w:rPr>
        <w:t xml:space="preserve">Система </w:t>
      </w:r>
      <w:r>
        <w:rPr>
          <w:rFonts w:ascii="Times New Roman" w:eastAsia="Times New Roman" w:hAnsi="Times New Roman"/>
          <w:color w:val="000000" w:themeColor="text1"/>
          <w:highlight w:val="white"/>
        </w:rPr>
        <w:t>– это защищенная информационная система, принадлежащая ГРО и предназначенная для сбора, хранения и обработки данных о действиях Абонента с целью его Идентификации/Аутентификации и осуществления юридически значимых действий, а также для обеспечения конфиденциальности персональных данных, требуемых при предоставлении услуг Абоненту, формирования и передачи электронных документов.</w:t>
      </w:r>
    </w:p>
    <w:p w:rsidR="005A4C09" w:rsidRDefault="00421B2A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СМС-код</w:t>
      </w:r>
      <w:r>
        <w:rPr>
          <w:rFonts w:ascii="Times New Roman" w:eastAsia="Times New Roman" w:hAnsi="Times New Roman"/>
          <w:highlight w:val="white"/>
        </w:rPr>
        <w:t xml:space="preserve"> – предоставляемый Абоненту посредством СМС-сообщения (SMS) уникальный символьный код, который представляет собой ключ электронной подписи в значении, придаваемом данному термину п. 5 ст. 2 Закона об ЭП. СМС-код используется Абонентом для Аутентификации (при необходимости) и для подписания электронных документов в ходе дистанционного взаимодействия с ГРО.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color w:val="000000" w:themeColor="text1"/>
          <w:highlight w:val="white"/>
        </w:rPr>
        <w:t xml:space="preserve">Средства </w:t>
      </w:r>
      <w:proofErr w:type="gramStart"/>
      <w:r>
        <w:rPr>
          <w:rFonts w:ascii="Times New Roman" w:eastAsia="Times New Roman" w:hAnsi="Times New Roman"/>
          <w:b/>
          <w:color w:val="000000" w:themeColor="text1"/>
          <w:highlight w:val="white"/>
        </w:rPr>
        <w:t xml:space="preserve">идентификации  </w:t>
      </w:r>
      <w:r>
        <w:rPr>
          <w:rFonts w:ascii="Times New Roman" w:eastAsia="Times New Roman" w:hAnsi="Times New Roman"/>
          <w:color w:val="000000" w:themeColor="text1"/>
          <w:highlight w:val="white"/>
        </w:rPr>
        <w:t>–</w:t>
      </w:r>
      <w:proofErr w:type="gramEnd"/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технические, программные или программно-аппаратные средства, используемые для реализации следующих функций:</w:t>
      </w:r>
    </w:p>
    <w:p w:rsidR="005A4C09" w:rsidRDefault="00421B2A">
      <w:pPr>
        <w:pStyle w:val="aff2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color w:val="000000" w:themeColor="text1"/>
          <w:highlight w:val="white"/>
        </w:rPr>
        <w:t>формирование (создание) Идентификационных данных;</w:t>
      </w:r>
    </w:p>
    <w:p w:rsidR="005A4C09" w:rsidRDefault="00421B2A">
      <w:pPr>
        <w:pStyle w:val="aff2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защищенное хранение Идентификационных и/или </w:t>
      </w:r>
      <w:proofErr w:type="spellStart"/>
      <w:r>
        <w:rPr>
          <w:rFonts w:ascii="Times New Roman" w:eastAsia="Times New Roman" w:hAnsi="Times New Roman"/>
          <w:color w:val="000000" w:themeColor="text1"/>
          <w:highlight w:val="white"/>
        </w:rPr>
        <w:t>Аутентификационных</w:t>
      </w:r>
      <w:proofErr w:type="spellEnd"/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данных;</w:t>
      </w:r>
    </w:p>
    <w:p w:rsidR="005A4C09" w:rsidRDefault="00421B2A">
      <w:pPr>
        <w:pStyle w:val="aff2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предъявление (предоставление) Идентификационных или </w:t>
      </w:r>
      <w:proofErr w:type="spellStart"/>
      <w:r>
        <w:rPr>
          <w:rFonts w:ascii="Times New Roman" w:eastAsia="Times New Roman" w:hAnsi="Times New Roman"/>
          <w:color w:val="000000" w:themeColor="text1"/>
          <w:highlight w:val="white"/>
        </w:rPr>
        <w:t>Аутентификационных</w:t>
      </w:r>
      <w:proofErr w:type="spellEnd"/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данных;</w:t>
      </w:r>
    </w:p>
    <w:p w:rsidR="005A4C09" w:rsidRDefault="00421B2A">
      <w:pPr>
        <w:pStyle w:val="aff2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color w:val="000000" w:themeColor="text1"/>
          <w:highlight w:val="white"/>
        </w:rPr>
        <w:lastRenderedPageBreak/>
        <w:t xml:space="preserve">проведение процедур Идентификации и/или </w:t>
      </w:r>
      <w:r>
        <w:rPr>
          <w:rFonts w:ascii="Times New Roman" w:eastAsia="Times New Roman" w:hAnsi="Times New Roman"/>
          <w:color w:val="000000" w:themeColor="text1"/>
        </w:rPr>
        <w:t>Аутентификации Абонент</w:t>
      </w:r>
      <w:r>
        <w:rPr>
          <w:rFonts w:ascii="Times New Roman" w:eastAsia="Times New Roman" w:hAnsi="Times New Roman"/>
          <w:color w:val="000000" w:themeColor="text1"/>
          <w:highlight w:val="white"/>
        </w:rPr>
        <w:t>а.</w:t>
      </w:r>
    </w:p>
    <w:p w:rsidR="005A4C09" w:rsidRDefault="00421B2A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Электронный документ</w:t>
      </w:r>
      <w:r>
        <w:rPr>
          <w:rFonts w:ascii="Times New Roman" w:eastAsia="Times New Roman" w:hAnsi="Times New Roman"/>
          <w:highlight w:val="white"/>
        </w:rPr>
        <w:t xml:space="preserve"> -  </w:t>
      </w:r>
      <w:r>
        <w:rPr>
          <w:rFonts w:ascii="Times New Roman" w:eastAsia="Times New Roman" w:hAnsi="Times New Roman"/>
          <w:color w:val="000000"/>
          <w:highlight w:val="white"/>
        </w:rPr>
        <w:t xml:space="preserve">документированная информация, представленная в электронной форме, то есть в виде, пригодном для восприятия Абонентом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 </w:t>
      </w:r>
      <w:r>
        <w:rPr>
          <w:rFonts w:ascii="Times New Roman" w:eastAsia="Times New Roman" w:hAnsi="Times New Roman"/>
          <w:highlight w:val="white"/>
        </w:rPr>
        <w:t>Иные термины, используемые в настоящем Соглашении, применяются в значениях, предусмотренных действующим законодательством Российской Федерации.</w:t>
      </w:r>
    </w:p>
    <w:p w:rsidR="005A4C09" w:rsidRDefault="005A4C09">
      <w:pPr>
        <w:spacing w:after="0" w:line="240" w:lineRule="auto"/>
        <w:jc w:val="both"/>
        <w:rPr>
          <w:rFonts w:ascii="Times New Roman" w:hAnsi="Times New Roman"/>
          <w:highlight w:val="white"/>
        </w:rPr>
      </w:pPr>
    </w:p>
    <w:p w:rsidR="005A4C09" w:rsidRDefault="00421B2A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2. Предмет Соглашения</w:t>
      </w:r>
    </w:p>
    <w:p w:rsidR="005A4C09" w:rsidRDefault="00421B2A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2.1. Настоящее Соглашение определяет порядок и условия применения ПЭП Абонента для обмена электронными документами между Сторонами, в том числе для заключения, изменения, расторжения и исполнения Договоров, посредством использования Личного кабинета. </w:t>
      </w:r>
    </w:p>
    <w:p w:rsidR="005A4C09" w:rsidRDefault="00421B2A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Юридически значимые действия, направленные на заключение, изменение, </w:t>
      </w:r>
      <w:proofErr w:type="gramStart"/>
      <w:r>
        <w:rPr>
          <w:rFonts w:ascii="Times New Roman" w:eastAsia="Times New Roman" w:hAnsi="Times New Roman"/>
          <w:highlight w:val="white"/>
        </w:rPr>
        <w:t>расторжение  и</w:t>
      </w:r>
      <w:proofErr w:type="gramEnd"/>
      <w:r>
        <w:rPr>
          <w:rFonts w:ascii="Times New Roman" w:eastAsia="Times New Roman" w:hAnsi="Times New Roman"/>
          <w:highlight w:val="white"/>
        </w:rPr>
        <w:t xml:space="preserve"> исполнение Договоров, совершенные Абонентом и ГРО через Личный кабинет Абонента с использованием простой электронной подписи, приравниваются к обмену электронными документами между ГРО и Абонентом (в соответствии с пунктом 2 статьи 434 Гражданского кодекса Российской Федерации).</w:t>
      </w:r>
    </w:p>
    <w:p w:rsidR="005A4C09" w:rsidRDefault="00421B2A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2.2. Соглашение также определяет условия и порядок взаимоотношений Сторон, которые возникают в связи и в процессе формирования, отправки и получения электронных документов при использовании Личного </w:t>
      </w:r>
      <w:proofErr w:type="gramStart"/>
      <w:r>
        <w:rPr>
          <w:rFonts w:ascii="Times New Roman" w:eastAsia="Times New Roman" w:hAnsi="Times New Roman"/>
          <w:highlight w:val="white"/>
        </w:rPr>
        <w:t>кабинета .</w:t>
      </w:r>
      <w:proofErr w:type="gramEnd"/>
      <w:r>
        <w:rPr>
          <w:rFonts w:ascii="Times New Roman" w:eastAsia="Times New Roman" w:hAnsi="Times New Roman"/>
          <w:highlight w:val="white"/>
        </w:rPr>
        <w:t xml:space="preserve"> </w:t>
      </w:r>
    </w:p>
    <w:p w:rsidR="005A4C09" w:rsidRDefault="00421B2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highlight w:val="white"/>
        </w:rPr>
      </w:pPr>
      <w:r>
        <w:rPr>
          <w:rFonts w:ascii="Times New Roman" w:hAnsi="Times New Roman"/>
          <w:highlight w:val="white"/>
        </w:rPr>
        <w:t xml:space="preserve">2.3. </w:t>
      </w: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Взаимодействие между Сторонами в Личном кабинете, включая обмен электронными документами, возможно исключительно с использованием ПЭП. 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 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3. Использование ПЭП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3.1. Электронный документ, подписанный ПЭП, считается подписанным Абонентом в случаях, если он соответствует совокупности следующих требований: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3.1.1. </w:t>
      </w:r>
      <w:r>
        <w:rPr>
          <w:rFonts w:ascii="Times New Roman" w:eastAsia="Arial" w:hAnsi="Times New Roman"/>
          <w:highlight w:val="white"/>
        </w:rPr>
        <w:t>Простая электронная подпись содержится в самом электронном документе.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3.1.2. Простая электронная подпись применяется в соответствии с правилами, установленными ГРО, с использованием которого осуществляются создание и (или) отправка электронного документа, и в созданном и (или) отправленном электронном документе содержится информация, указывающая на лицо, от имени которого был создан и (или) отправлен электронный документ.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3.1.3. Электронный документ направлен через Личный кабинет Абонента.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3.1.4. В текст электронного документа при его подписании включается Идентификатор, автоматически генерируемый Системой на основании СМС-кода, который Абонент должен ввести в специальное интерактивное поле на Сайте.</w:t>
      </w:r>
    </w:p>
    <w:p w:rsidR="005A4C09" w:rsidRDefault="00421B2A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3.2 СМС-код предоставляется ГРО Абоненту путем направления СМС-сообщения, которое содержит указанный СМС-код. Такое сообщение направляется только на Зарегистрированный номер и считается предоставленными Абоненту лично. 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3.3. СМС-код может быть использован для подписания электронного документа однократно. Срок действия такого СМС-кода составляет 300 секунд с момента его направления Абоненту. При неиспользовании его в течение указанного времени СМС-код теряет свою актуальность. Для продолжения работы с Системой Абоненту необходимо получить новый СМС-код.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3.4. </w:t>
      </w:r>
      <w:r>
        <w:rPr>
          <w:rFonts w:ascii="Times New Roman" w:eastAsia="Times New Roman" w:hAnsi="Times New Roman"/>
          <w:highlight w:val="white"/>
        </w:rPr>
        <w:t>В целях сохранения сведений о юридически значимых действиях Сторон ГРО обеспечивает хранение электронных документов, подписанных ПЭП, которые формировались или передавались посредством Системы.</w:t>
      </w:r>
    </w:p>
    <w:p w:rsidR="005A4C09" w:rsidRDefault="005A4C09">
      <w:pPr>
        <w:spacing w:after="0" w:line="240" w:lineRule="auto"/>
        <w:jc w:val="both"/>
        <w:rPr>
          <w:rFonts w:ascii="Times New Roman" w:hAnsi="Times New Roman"/>
          <w:highlight w:val="white"/>
        </w:rPr>
      </w:pPr>
    </w:p>
    <w:p w:rsidR="005A4C09" w:rsidRDefault="00421B2A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4. Правила проверки ПЭП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4.1. Факт подписания электронного документа Абонентом устанавливается путем сопоставления всех без исключения нижеперечисленных сведений: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4.1.1. Идентификатора, который включается в электронный документ.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4.1.2. СМС-кода, используемого Абонентом для подписания Электронного документа.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4.1.3. Информации о предоставлении СМС-кода по Зарегистрированному номеру. 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4.1.</w:t>
      </w:r>
      <w:proofErr w:type="gramStart"/>
      <w:r>
        <w:rPr>
          <w:rFonts w:ascii="Times New Roman" w:eastAsia="Times New Roman" w:hAnsi="Times New Roman"/>
          <w:highlight w:val="white"/>
        </w:rPr>
        <w:t>4.Т</w:t>
      </w:r>
      <w:r>
        <w:rPr>
          <w:rFonts w:ascii="Times New Roman" w:eastAsia="Times New Roman" w:hAnsi="Times New Roman"/>
          <w:color w:val="000000"/>
          <w:highlight w:val="white"/>
        </w:rPr>
        <w:t>ехнических</w:t>
      </w:r>
      <w:proofErr w:type="gramEnd"/>
      <w:r>
        <w:rPr>
          <w:rFonts w:ascii="Times New Roman" w:eastAsia="Times New Roman" w:hAnsi="Times New Roman"/>
          <w:color w:val="000000"/>
          <w:highlight w:val="white"/>
        </w:rPr>
        <w:t xml:space="preserve"> данных (сведения о запросах; присвоенные идентификаторы (ID); IP-адрес; сведения о местоположении; тип устройства; дата и время сессии; сведения, которые образуются при посещении ЛК (файлы </w:t>
      </w:r>
      <w:proofErr w:type="spellStart"/>
      <w:r>
        <w:rPr>
          <w:rFonts w:ascii="Times New Roman" w:eastAsia="Times New Roman" w:hAnsi="Times New Roman"/>
          <w:color w:val="000000"/>
          <w:highlight w:val="white"/>
        </w:rPr>
        <w:t>cookies</w:t>
      </w:r>
      <w:proofErr w:type="spellEnd"/>
      <w:r>
        <w:rPr>
          <w:rFonts w:ascii="Times New Roman" w:eastAsia="Times New Roman" w:hAnsi="Times New Roman"/>
          <w:color w:val="000000"/>
          <w:highlight w:val="white"/>
        </w:rPr>
        <w:t>); иные сведения, которые отвечают целям обработки персональных данных) об активности Абонента в ходе использования Личного кабинета.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strike/>
          <w:highlight w:val="white"/>
        </w:rPr>
      </w:pPr>
      <w:r>
        <w:rPr>
          <w:rFonts w:ascii="Times New Roman" w:eastAsia="Times New Roman" w:hAnsi="Times New Roman"/>
          <w:highlight w:val="white"/>
        </w:rPr>
        <w:t>4.2 Стороны согласны с тем, что указанная в пункте 4.1 настоящего Соглашения совокупность условий для определения достоверности ПЭП Абонента является достаточной. Абонент самостоятельно несет ответственность за исключение несанкционированного доступа к Зарегистрированному номеру и (или) Зарегистрированному почтовому ящику.</w:t>
      </w:r>
      <w:r>
        <w:rPr>
          <w:rFonts w:ascii="Times New Roman" w:eastAsia="Times New Roman" w:hAnsi="Times New Roman"/>
          <w:strike/>
          <w:highlight w:val="white"/>
        </w:rPr>
        <w:t xml:space="preserve"> </w:t>
      </w:r>
    </w:p>
    <w:p w:rsidR="005A4C09" w:rsidRDefault="005A4C09">
      <w:pPr>
        <w:spacing w:after="0" w:line="240" w:lineRule="auto"/>
        <w:jc w:val="both"/>
        <w:rPr>
          <w:rFonts w:ascii="Times New Roman" w:hAnsi="Times New Roman"/>
          <w:highlight w:val="white"/>
        </w:rPr>
      </w:pPr>
    </w:p>
    <w:p w:rsidR="005A4C09" w:rsidRDefault="00421B2A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lastRenderedPageBreak/>
        <w:t>5. Конфиденциальность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5.1. Абонент обязан: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5.1.1. Не разглашать третьим лицам информацию о закрепленном за ним Логине, Пароле, СМС-кодах и предпринимать все меры, необходимые и достаточные для сохранения указанных сведений в тайне.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5.1.2. Не передавать третьим лицам SIM-карту, которая обеспечивает возможность использовать Зарегистрированный номер.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5.1.3. Не предоставлять третьим лицам доступ к Зарегистрированному почтовому ящику, не осуществлять пересылку писем с данными для авторизации и предпринимать все меры, необходимые для того, чтобы приходящие Абоненту на Зарегистрированный почтовый ящик письма были доступны только самому Абоненту.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highlight w:val="white"/>
        </w:rPr>
        <w:t>5.1.4. Незамедлительно сообщать ГРО о каждом факте нарушения конфиденциальности указанных выше сведений.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color w:val="000000" w:themeColor="text1"/>
        </w:rPr>
        <w:t xml:space="preserve">5.1.5. В случае нарушения конфиденциальности </w:t>
      </w:r>
      <w:r>
        <w:rPr>
          <w:rFonts w:ascii="Times New Roman" w:eastAsia="Times New Roman" w:hAnsi="Times New Roman"/>
          <w:color w:val="000000" w:themeColor="text1"/>
          <w:highlight w:val="white"/>
        </w:rPr>
        <w:t>сведения утрачивают актуальность и не принимаются Системой ГРО.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5.2. Абонент несет риски наступления всех неблагоприятных последствий в связи с неисполнением им своих обязанностей, предусмотренных подпунктами 5.1.1 – 5.1.4 настоящего Соглашения, в том числе риски, связанные с недобросовестными или незаконными действиями третьих лиц, которые смогли получить доступ к вышеуказанной информации.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highlight w:val="white"/>
        </w:rPr>
        <w:t xml:space="preserve">5.3. </w:t>
      </w:r>
      <w:r>
        <w:rPr>
          <w:rFonts w:ascii="Times New Roman" w:eastAsia="Times New Roman" w:hAnsi="Times New Roman"/>
          <w:sz w:val="24"/>
          <w:szCs w:val="24"/>
        </w:rPr>
        <w:t>ГРО обязано обеспечить конфиденциальность информации об разовых СМС-кодах, направленных Абоненту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. 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 xml:space="preserve">5.4. </w:t>
      </w:r>
      <w:r>
        <w:rPr>
          <w:rFonts w:ascii="Times New Roman" w:eastAsia="Times New Roman" w:hAnsi="Times New Roman"/>
        </w:rPr>
        <w:t>Стороны обязуются обеспечить конфиденциальность персональных данных, полученных в ходе оказания услуг по Договорам и безопасность персональных данных при их обработке в соответствии с требованиями действующего законодательства в области защиты персональных данных, в том числе с требованиями ст. 19 Федерального Закона от 27.07.2006. № 152-ФЗ «О персональных данных».</w:t>
      </w:r>
    </w:p>
    <w:p w:rsidR="005A4C09" w:rsidRDefault="005A4C09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</w:p>
    <w:p w:rsidR="005A4C09" w:rsidRDefault="00421B2A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6. Заключительные положения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b/>
          <w:bCs/>
          <w:highlight w:val="white"/>
        </w:rPr>
      </w:pPr>
      <w:r>
        <w:rPr>
          <w:rFonts w:ascii="Times New Roman" w:eastAsia="Times New Roman" w:hAnsi="Times New Roman"/>
          <w:highlight w:val="white"/>
        </w:rPr>
        <w:t>6.1. Настоящее Соглашение заключено на неопределенный срок.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6.2. Документы, подписанные </w:t>
      </w:r>
      <w:proofErr w:type="gramStart"/>
      <w:r>
        <w:rPr>
          <w:rFonts w:ascii="Times New Roman" w:hAnsi="Times New Roman"/>
          <w:highlight w:val="white"/>
        </w:rPr>
        <w:t>ПЭП ,</w:t>
      </w:r>
      <w:proofErr w:type="gramEnd"/>
      <w:r>
        <w:rPr>
          <w:rFonts w:ascii="Times New Roman" w:hAnsi="Times New Roman"/>
          <w:highlight w:val="white"/>
        </w:rPr>
        <w:t xml:space="preserve"> признаются равнозначными документам на бумажном носителе.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6.2. Стороны несут ответственность за невыполнение или ненадлежащее выполнение своих обязанностей по настоящему Соглашению в пределах и порядке, предусмотренном действующим законодательством Российской Федерации.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  <w:lang w:eastAsia="ru-RU"/>
        </w:rPr>
        <w:t>6.3. Во всем ином, не предусмотренном настоящим Соглашением, права, обязанности и ответственность Сторон определяются действующим законодательством Российской Федерации.</w:t>
      </w:r>
    </w:p>
    <w:p w:rsidR="005A4C09" w:rsidRDefault="00421B2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highlight w:val="white"/>
          <w:lang w:eastAsia="ru-RU"/>
        </w:rPr>
        <w:t xml:space="preserve">6.4. Абонент вправе в одностороннем внесудебном порядке отказаться от исполнения настоящего Соглашения путем предоставления ГРО соответствующего письменного заявления. В указанном случае настоящее Соглашение прекращает свое действие с момента получения заявления Абонента ГРО, о чем Абонент </w:t>
      </w:r>
      <w:proofErr w:type="gramStart"/>
      <w:r>
        <w:rPr>
          <w:rFonts w:ascii="Times New Roman" w:eastAsia="Times New Roman" w:hAnsi="Times New Roman"/>
          <w:highlight w:val="white"/>
          <w:lang w:eastAsia="ru-RU"/>
        </w:rPr>
        <w:t>уведомляется  в</w:t>
      </w:r>
      <w:proofErr w:type="gramEnd"/>
      <w:r>
        <w:rPr>
          <w:rFonts w:ascii="Times New Roman" w:eastAsia="Times New Roman" w:hAnsi="Times New Roman"/>
          <w:highlight w:val="white"/>
          <w:lang w:eastAsia="ru-RU"/>
        </w:rPr>
        <w:t xml:space="preserve"> личном кабинете Абонента.</w:t>
      </w:r>
    </w:p>
    <w:p w:rsidR="005A4C09" w:rsidRDefault="005A4C09">
      <w:pPr>
        <w:pStyle w:val="14"/>
        <w:jc w:val="both"/>
        <w:rPr>
          <w:rFonts w:ascii="Times New Roman" w:hAnsi="Times New Roman" w:cs="Times New Roman"/>
          <w:highlight w:val="white"/>
        </w:rPr>
      </w:pPr>
    </w:p>
    <w:p w:rsidR="005A4C09" w:rsidRDefault="00421B2A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315"/>
        <w:gridCol w:w="5315"/>
      </w:tblGrid>
      <w:tr w:rsidR="005A4C09">
        <w:tc>
          <w:tcPr>
            <w:tcW w:w="53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4C09" w:rsidRDefault="00421B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highlight w:val="white"/>
              </w:rPr>
              <w:t>ГРО</w:t>
            </w:r>
            <w:r>
              <w:rPr>
                <w:rFonts w:ascii="Times New Roman" w:hAnsi="Times New Roman"/>
                <w:b/>
                <w:highlight w:val="white"/>
              </w:rPr>
              <w:t>:</w:t>
            </w:r>
          </w:p>
        </w:tc>
        <w:tc>
          <w:tcPr>
            <w:tcW w:w="53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4C09" w:rsidRDefault="00421B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highlight w:val="white"/>
              </w:rPr>
              <w:t>Абонент</w:t>
            </w:r>
            <w:r>
              <w:rPr>
                <w:rFonts w:ascii="Times New Roman" w:hAnsi="Times New Roman"/>
                <w:b/>
                <w:bCs/>
                <w:highlight w:val="white"/>
              </w:rPr>
              <w:t>:</w:t>
            </w:r>
          </w:p>
        </w:tc>
      </w:tr>
      <w:tr w:rsidR="005A4C09">
        <w:tc>
          <w:tcPr>
            <w:tcW w:w="53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4C09" w:rsidRDefault="005A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5A4C09" w:rsidRDefault="005A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5A4C09" w:rsidRDefault="00421B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>
              <w:rPr>
                <w:rFonts w:ascii="Times New Roman" w:hAnsi="Times New Roman"/>
                <w:b/>
                <w:bCs/>
                <w:highlight w:val="white"/>
              </w:rPr>
              <w:t>_______________________________</w:t>
            </w:r>
          </w:p>
          <w:p w:rsidR="005A4C09" w:rsidRDefault="005A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5A4C09" w:rsidRDefault="005A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5A4C09" w:rsidRDefault="005A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</w:tc>
        <w:tc>
          <w:tcPr>
            <w:tcW w:w="53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4C09" w:rsidRDefault="005A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5A4C09" w:rsidRDefault="005A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5A4C09" w:rsidRDefault="00421B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>
              <w:rPr>
                <w:rFonts w:ascii="Times New Roman" w:hAnsi="Times New Roman"/>
                <w:b/>
                <w:bCs/>
                <w:highlight w:val="white"/>
              </w:rPr>
              <w:t>_______________________________</w:t>
            </w:r>
          </w:p>
          <w:p w:rsidR="005A4C09" w:rsidRDefault="005A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5A4C09" w:rsidRDefault="005A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5A4C09" w:rsidRDefault="005A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</w:tc>
      </w:tr>
    </w:tbl>
    <w:p w:rsidR="005A4C09" w:rsidRDefault="005A4C09">
      <w:pPr>
        <w:spacing w:after="0" w:line="240" w:lineRule="auto"/>
        <w:jc w:val="both"/>
        <w:rPr>
          <w:rFonts w:ascii="Arial" w:hAnsi="Arial" w:cs="Arial"/>
          <w:highlight w:val="white"/>
        </w:rPr>
      </w:pPr>
    </w:p>
    <w:sectPr w:rsidR="005A4C09">
      <w:headerReference w:type="default" r:id="rId8"/>
      <w:pgSz w:w="11906" w:h="16838"/>
      <w:pgMar w:top="1134" w:right="56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7BF" w:rsidRDefault="00DD47BF">
      <w:pPr>
        <w:spacing w:after="0" w:line="240" w:lineRule="auto"/>
      </w:pPr>
      <w:r>
        <w:separator/>
      </w:r>
    </w:p>
  </w:endnote>
  <w:endnote w:type="continuationSeparator" w:id="0">
    <w:p w:rsidR="00DD47BF" w:rsidRDefault="00DD47BF">
      <w:pPr>
        <w:spacing w:after="0" w:line="240" w:lineRule="auto"/>
      </w:pPr>
      <w:r>
        <w:continuationSeparator/>
      </w:r>
    </w:p>
  </w:endnote>
  <w:endnote w:type="continuationNotice" w:id="1">
    <w:p w:rsidR="00DD47BF" w:rsidRDefault="00DD47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7BF" w:rsidRDefault="00DD47BF">
      <w:pPr>
        <w:spacing w:after="0" w:line="240" w:lineRule="auto"/>
      </w:pPr>
      <w:r>
        <w:separator/>
      </w:r>
    </w:p>
  </w:footnote>
  <w:footnote w:type="continuationSeparator" w:id="0">
    <w:p w:rsidR="00DD47BF" w:rsidRDefault="00DD47BF">
      <w:pPr>
        <w:spacing w:after="0" w:line="240" w:lineRule="auto"/>
      </w:pPr>
      <w:r>
        <w:continuationSeparator/>
      </w:r>
    </w:p>
  </w:footnote>
  <w:footnote w:type="continuationNotice" w:id="1">
    <w:p w:rsidR="00DD47BF" w:rsidRDefault="00DD47BF">
      <w:pPr>
        <w:spacing w:after="0" w:line="240" w:lineRule="auto"/>
      </w:pPr>
    </w:p>
  </w:footnote>
  <w:footnote w:id="2">
    <w:p w:rsidR="005A4C09" w:rsidRDefault="00421B2A">
      <w:pPr>
        <w:pStyle w:val="ac"/>
        <w:spacing w:after="0"/>
        <w:jc w:val="both"/>
        <w:rPr>
          <w:rFonts w:ascii="Times New Roman" w:hAnsi="Times New Roman"/>
          <w:bCs/>
          <w:i/>
          <w:sz w:val="20"/>
          <w:szCs w:val="20"/>
        </w:rPr>
      </w:pPr>
      <w:r>
        <w:rPr>
          <w:rStyle w:val="ae"/>
          <w:rFonts w:ascii="Times New Roman" w:eastAsia="Times New Roman" w:hAnsi="Times New Roman"/>
          <w:i/>
          <w:iCs/>
          <w:sz w:val="20"/>
          <w:szCs w:val="20"/>
        </w:rPr>
        <w:footnoteRef/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Условие подлежит включению при заключении Договора представителем Абонента, действующим на основании доверенности (требуется указать ФИО, </w:t>
      </w:r>
      <w:proofErr w:type="spellStart"/>
      <w:proofErr w:type="gramStart"/>
      <w:r>
        <w:rPr>
          <w:rFonts w:ascii="Times New Roman" w:eastAsia="Times New Roman" w:hAnsi="Times New Roman"/>
          <w:i/>
          <w:iCs/>
          <w:sz w:val="20"/>
          <w:szCs w:val="20"/>
        </w:rPr>
        <w:t>паспорт.данные</w:t>
      </w:r>
      <w:proofErr w:type="spellEnd"/>
      <w:proofErr w:type="gramEnd"/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и адрес регистрации доверенного лица).</w:t>
      </w:r>
    </w:p>
  </w:footnote>
  <w:footnote w:id="3">
    <w:p w:rsidR="005A4C09" w:rsidRDefault="00421B2A">
      <w:pPr>
        <w:pStyle w:val="ac"/>
        <w:spacing w:after="0"/>
        <w:jc w:val="both"/>
        <w:rPr>
          <w:rFonts w:ascii="Times New Roman" w:hAnsi="Times New Roman"/>
          <w:bCs/>
          <w:i/>
          <w:sz w:val="20"/>
          <w:szCs w:val="20"/>
        </w:rPr>
      </w:pPr>
      <w:r>
        <w:rPr>
          <w:rStyle w:val="ae"/>
          <w:rFonts w:ascii="Times New Roman" w:eastAsia="Times New Roman" w:hAnsi="Times New Roman"/>
          <w:i/>
          <w:iCs/>
          <w:sz w:val="20"/>
          <w:szCs w:val="20"/>
        </w:rPr>
        <w:footnoteRef/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Условие подлежит включению в случае заключения Договора с Абонентом, возраст которого не достиг 14 лет, либо с недееспособным Абонентом.</w:t>
      </w:r>
    </w:p>
  </w:footnote>
  <w:footnote w:id="4">
    <w:p w:rsidR="005A4C09" w:rsidRDefault="00421B2A">
      <w:pPr>
        <w:tabs>
          <w:tab w:val="left" w:pos="10065"/>
        </w:tabs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Style w:val="ae"/>
          <w:rFonts w:ascii="Times New Roman" w:eastAsia="Times New Roman" w:hAnsi="Times New Roman"/>
          <w:i/>
          <w:iCs/>
          <w:sz w:val="20"/>
          <w:szCs w:val="20"/>
        </w:rPr>
        <w:footnoteRef/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Условие подлежит включению в случае заключения Договора с Абонентом, возраст которого от 14 лет до 18 лет, либо с Абонентом, дееспособность которого </w:t>
      </w:r>
      <w:proofErr w:type="gramStart"/>
      <w:r>
        <w:rPr>
          <w:rFonts w:ascii="Times New Roman" w:eastAsia="Times New Roman" w:hAnsi="Times New Roman"/>
          <w:i/>
          <w:iCs/>
          <w:sz w:val="20"/>
          <w:szCs w:val="20"/>
        </w:rPr>
        <w:t>ограничена .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C09" w:rsidRDefault="005A4C09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2497"/>
    <w:multiLevelType w:val="multilevel"/>
    <w:tmpl w:val="C3320B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9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9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9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9" w:hanging="1080"/>
      </w:pPr>
      <w:rPr>
        <w:rFonts w:hint="default"/>
      </w:rPr>
    </w:lvl>
  </w:abstractNum>
  <w:abstractNum w:abstractNumId="1" w15:restartNumberingAfterBreak="0">
    <w:nsid w:val="0F4B75D0"/>
    <w:multiLevelType w:val="hybridMultilevel"/>
    <w:tmpl w:val="E94ED67E"/>
    <w:lvl w:ilvl="0" w:tplc="4502F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820ABC">
      <w:start w:val="1"/>
      <w:numFmt w:val="lowerLetter"/>
      <w:lvlText w:val="%2."/>
      <w:lvlJc w:val="left"/>
      <w:pPr>
        <w:ind w:left="1440" w:hanging="360"/>
      </w:pPr>
    </w:lvl>
    <w:lvl w:ilvl="2" w:tplc="423ED3EE">
      <w:start w:val="1"/>
      <w:numFmt w:val="lowerRoman"/>
      <w:lvlText w:val="%3."/>
      <w:lvlJc w:val="right"/>
      <w:pPr>
        <w:ind w:left="2160" w:hanging="180"/>
      </w:pPr>
    </w:lvl>
    <w:lvl w:ilvl="3" w:tplc="0DCE19EC">
      <w:start w:val="1"/>
      <w:numFmt w:val="decimal"/>
      <w:lvlText w:val="%4."/>
      <w:lvlJc w:val="left"/>
      <w:pPr>
        <w:ind w:left="2880" w:hanging="360"/>
      </w:pPr>
    </w:lvl>
    <w:lvl w:ilvl="4" w:tplc="F59E72D0">
      <w:start w:val="1"/>
      <w:numFmt w:val="lowerLetter"/>
      <w:lvlText w:val="%5."/>
      <w:lvlJc w:val="left"/>
      <w:pPr>
        <w:ind w:left="3600" w:hanging="360"/>
      </w:pPr>
    </w:lvl>
    <w:lvl w:ilvl="5" w:tplc="14E2A3CA">
      <w:start w:val="1"/>
      <w:numFmt w:val="lowerRoman"/>
      <w:lvlText w:val="%6."/>
      <w:lvlJc w:val="right"/>
      <w:pPr>
        <w:ind w:left="4320" w:hanging="180"/>
      </w:pPr>
    </w:lvl>
    <w:lvl w:ilvl="6" w:tplc="09821EA4">
      <w:start w:val="1"/>
      <w:numFmt w:val="decimal"/>
      <w:lvlText w:val="%7."/>
      <w:lvlJc w:val="left"/>
      <w:pPr>
        <w:ind w:left="5040" w:hanging="360"/>
      </w:pPr>
    </w:lvl>
    <w:lvl w:ilvl="7" w:tplc="F06E604A">
      <w:start w:val="1"/>
      <w:numFmt w:val="lowerLetter"/>
      <w:lvlText w:val="%8."/>
      <w:lvlJc w:val="left"/>
      <w:pPr>
        <w:ind w:left="5760" w:hanging="360"/>
      </w:pPr>
    </w:lvl>
    <w:lvl w:ilvl="8" w:tplc="515A80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00106"/>
    <w:multiLevelType w:val="hybridMultilevel"/>
    <w:tmpl w:val="E23EEB50"/>
    <w:lvl w:ilvl="0" w:tplc="E92E329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5F8EA7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B62BF2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B083F7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BACAE7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D8C86E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306931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C7C883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27E929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FBD5FAB"/>
    <w:multiLevelType w:val="hybridMultilevel"/>
    <w:tmpl w:val="E9562F36"/>
    <w:lvl w:ilvl="0" w:tplc="A1049662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u w:val="none"/>
        <w:lang w:val="ru-RU" w:eastAsia="ru-RU" w:bidi="ru-RU"/>
      </w:rPr>
    </w:lvl>
    <w:lvl w:ilvl="1" w:tplc="9E0CB6A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6E42BD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92277B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796FFB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012F48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2DE139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A121F1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672A8B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5B545DD"/>
    <w:multiLevelType w:val="hybridMultilevel"/>
    <w:tmpl w:val="F1168F24"/>
    <w:lvl w:ilvl="0" w:tplc="CC380E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u w:val="none"/>
        <w:vertAlign w:val="baseline"/>
      </w:rPr>
    </w:lvl>
    <w:lvl w:ilvl="1" w:tplc="A87A00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D5425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8E073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BB625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06295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6C93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2F255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3EA68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6FA055F"/>
    <w:multiLevelType w:val="hybridMultilevel"/>
    <w:tmpl w:val="6D164F2A"/>
    <w:lvl w:ilvl="0" w:tplc="7F7AFA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u w:val="none"/>
        <w:vertAlign w:val="baseline"/>
      </w:rPr>
    </w:lvl>
    <w:lvl w:ilvl="1" w:tplc="70841B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C635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C6AB8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5E6B2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3FCE3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37831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20AD2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00AFA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4BF5099"/>
    <w:multiLevelType w:val="hybridMultilevel"/>
    <w:tmpl w:val="8662E592"/>
    <w:lvl w:ilvl="0" w:tplc="98DC9D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9E4168">
      <w:start w:val="1"/>
      <w:numFmt w:val="lowerLetter"/>
      <w:lvlText w:val="%2."/>
      <w:lvlJc w:val="left"/>
      <w:pPr>
        <w:ind w:left="1440" w:hanging="360"/>
      </w:pPr>
    </w:lvl>
    <w:lvl w:ilvl="2" w:tplc="C31E12BA">
      <w:start w:val="1"/>
      <w:numFmt w:val="lowerRoman"/>
      <w:lvlText w:val="%3."/>
      <w:lvlJc w:val="right"/>
      <w:pPr>
        <w:ind w:left="2160" w:hanging="180"/>
      </w:pPr>
    </w:lvl>
    <w:lvl w:ilvl="3" w:tplc="E968B710">
      <w:start w:val="1"/>
      <w:numFmt w:val="decimal"/>
      <w:lvlText w:val="%4."/>
      <w:lvlJc w:val="left"/>
      <w:pPr>
        <w:ind w:left="2880" w:hanging="360"/>
      </w:pPr>
    </w:lvl>
    <w:lvl w:ilvl="4" w:tplc="8752D530">
      <w:start w:val="1"/>
      <w:numFmt w:val="lowerLetter"/>
      <w:lvlText w:val="%5."/>
      <w:lvlJc w:val="left"/>
      <w:pPr>
        <w:ind w:left="3600" w:hanging="360"/>
      </w:pPr>
    </w:lvl>
    <w:lvl w:ilvl="5" w:tplc="2DDE0CBE">
      <w:start w:val="1"/>
      <w:numFmt w:val="lowerRoman"/>
      <w:lvlText w:val="%6."/>
      <w:lvlJc w:val="right"/>
      <w:pPr>
        <w:ind w:left="4320" w:hanging="180"/>
      </w:pPr>
    </w:lvl>
    <w:lvl w:ilvl="6" w:tplc="51D02F76">
      <w:start w:val="1"/>
      <w:numFmt w:val="decimal"/>
      <w:lvlText w:val="%7."/>
      <w:lvlJc w:val="left"/>
      <w:pPr>
        <w:ind w:left="5040" w:hanging="360"/>
      </w:pPr>
    </w:lvl>
    <w:lvl w:ilvl="7" w:tplc="4EA20924">
      <w:start w:val="1"/>
      <w:numFmt w:val="lowerLetter"/>
      <w:lvlText w:val="%8."/>
      <w:lvlJc w:val="left"/>
      <w:pPr>
        <w:ind w:left="5760" w:hanging="360"/>
      </w:pPr>
    </w:lvl>
    <w:lvl w:ilvl="8" w:tplc="EDD0FB5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81CAA"/>
    <w:multiLevelType w:val="hybridMultilevel"/>
    <w:tmpl w:val="9D6A72C0"/>
    <w:lvl w:ilvl="0" w:tplc="CB3404B2">
      <w:start w:val="1"/>
      <w:numFmt w:val="decimal"/>
      <w:lvlText w:val="%1."/>
      <w:lvlJc w:val="left"/>
      <w:pPr>
        <w:ind w:left="709" w:hanging="360"/>
      </w:pPr>
    </w:lvl>
    <w:lvl w:ilvl="1" w:tplc="5ED449AC">
      <w:start w:val="1"/>
      <w:numFmt w:val="lowerLetter"/>
      <w:lvlText w:val="%2."/>
      <w:lvlJc w:val="left"/>
      <w:pPr>
        <w:ind w:left="1429" w:hanging="360"/>
      </w:pPr>
    </w:lvl>
    <w:lvl w:ilvl="2" w:tplc="AF7CC038">
      <w:start w:val="1"/>
      <w:numFmt w:val="lowerRoman"/>
      <w:lvlText w:val="%3."/>
      <w:lvlJc w:val="right"/>
      <w:pPr>
        <w:ind w:left="2149" w:hanging="180"/>
      </w:pPr>
    </w:lvl>
    <w:lvl w:ilvl="3" w:tplc="DBA4C504">
      <w:start w:val="1"/>
      <w:numFmt w:val="decimal"/>
      <w:lvlText w:val="%4."/>
      <w:lvlJc w:val="left"/>
      <w:pPr>
        <w:ind w:left="2869" w:hanging="360"/>
      </w:pPr>
    </w:lvl>
    <w:lvl w:ilvl="4" w:tplc="DE74A054">
      <w:start w:val="1"/>
      <w:numFmt w:val="lowerLetter"/>
      <w:lvlText w:val="%5."/>
      <w:lvlJc w:val="left"/>
      <w:pPr>
        <w:ind w:left="3589" w:hanging="360"/>
      </w:pPr>
    </w:lvl>
    <w:lvl w:ilvl="5" w:tplc="38B4B9C8">
      <w:start w:val="1"/>
      <w:numFmt w:val="lowerRoman"/>
      <w:lvlText w:val="%6."/>
      <w:lvlJc w:val="right"/>
      <w:pPr>
        <w:ind w:left="4309" w:hanging="180"/>
      </w:pPr>
    </w:lvl>
    <w:lvl w:ilvl="6" w:tplc="D7D6A77A">
      <w:start w:val="1"/>
      <w:numFmt w:val="decimal"/>
      <w:lvlText w:val="%7."/>
      <w:lvlJc w:val="left"/>
      <w:pPr>
        <w:ind w:left="5029" w:hanging="360"/>
      </w:pPr>
    </w:lvl>
    <w:lvl w:ilvl="7" w:tplc="9AFE8A02">
      <w:start w:val="1"/>
      <w:numFmt w:val="lowerLetter"/>
      <w:lvlText w:val="%8."/>
      <w:lvlJc w:val="left"/>
      <w:pPr>
        <w:ind w:left="5749" w:hanging="360"/>
      </w:pPr>
    </w:lvl>
    <w:lvl w:ilvl="8" w:tplc="F0326056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3CEE34C9"/>
    <w:multiLevelType w:val="hybridMultilevel"/>
    <w:tmpl w:val="6966D2B8"/>
    <w:lvl w:ilvl="0" w:tplc="72CC80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u w:val="none"/>
        <w:vertAlign w:val="baseline"/>
      </w:rPr>
    </w:lvl>
    <w:lvl w:ilvl="1" w:tplc="CD3033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8A2C0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EB096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0D6A0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EC610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DCD8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4C6E2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4020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A920749"/>
    <w:multiLevelType w:val="hybridMultilevel"/>
    <w:tmpl w:val="77184B3A"/>
    <w:lvl w:ilvl="0" w:tplc="5F4ECC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u w:val="none"/>
        <w:vertAlign w:val="baseline"/>
      </w:rPr>
    </w:lvl>
    <w:lvl w:ilvl="1" w:tplc="EEA4C0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64D3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0239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80A9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37EB3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C109B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EB22E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886F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2526B0A"/>
    <w:multiLevelType w:val="hybridMultilevel"/>
    <w:tmpl w:val="6B0286DA"/>
    <w:lvl w:ilvl="0" w:tplc="D36A132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2E3ABC9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15AA8FE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A862449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C92079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975E88F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E9BA0FC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6921D5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4FE09AB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1" w15:restartNumberingAfterBreak="0">
    <w:nsid w:val="5E8268F1"/>
    <w:multiLevelType w:val="hybridMultilevel"/>
    <w:tmpl w:val="5B7614BA"/>
    <w:lvl w:ilvl="0" w:tplc="7C58DA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u w:val="none"/>
        <w:vertAlign w:val="baseline"/>
      </w:rPr>
    </w:lvl>
    <w:lvl w:ilvl="1" w:tplc="820A32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DA88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61A15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11655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2C6E5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176EC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AAFA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4387A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CAD66CB"/>
    <w:multiLevelType w:val="multilevel"/>
    <w:tmpl w:val="FB2C93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9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9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9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9" w:hanging="1080"/>
      </w:pPr>
      <w:rPr>
        <w:rFonts w:hint="default"/>
      </w:rPr>
    </w:lvl>
  </w:abstractNum>
  <w:abstractNum w:abstractNumId="13" w15:restartNumberingAfterBreak="0">
    <w:nsid w:val="6CD03E3F"/>
    <w:multiLevelType w:val="multilevel"/>
    <w:tmpl w:val="050E52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9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9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9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9" w:hanging="1080"/>
      </w:pPr>
      <w:rPr>
        <w:rFonts w:hint="default"/>
      </w:rPr>
    </w:lvl>
  </w:abstractNum>
  <w:abstractNum w:abstractNumId="14" w15:restartNumberingAfterBreak="0">
    <w:nsid w:val="706C286A"/>
    <w:multiLevelType w:val="hybridMultilevel"/>
    <w:tmpl w:val="3042CD18"/>
    <w:lvl w:ilvl="0" w:tplc="A5AE89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u w:val="none"/>
        <w:lang w:val="ru-RU" w:eastAsia="ru-RU" w:bidi="ru-RU"/>
      </w:rPr>
    </w:lvl>
    <w:lvl w:ilvl="1" w:tplc="0884EF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5CDF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33A31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6942D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A5260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023D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06077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F84E8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71E10E2E"/>
    <w:multiLevelType w:val="hybridMultilevel"/>
    <w:tmpl w:val="3A3A281E"/>
    <w:lvl w:ilvl="0" w:tplc="88743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246D9E">
      <w:start w:val="1"/>
      <w:numFmt w:val="lowerLetter"/>
      <w:lvlText w:val="%2."/>
      <w:lvlJc w:val="left"/>
      <w:pPr>
        <w:ind w:left="1440" w:hanging="360"/>
      </w:pPr>
    </w:lvl>
    <w:lvl w:ilvl="2" w:tplc="ACFAA4D2">
      <w:start w:val="1"/>
      <w:numFmt w:val="lowerRoman"/>
      <w:lvlText w:val="%3."/>
      <w:lvlJc w:val="right"/>
      <w:pPr>
        <w:ind w:left="2160" w:hanging="180"/>
      </w:pPr>
    </w:lvl>
    <w:lvl w:ilvl="3" w:tplc="910028E4">
      <w:start w:val="1"/>
      <w:numFmt w:val="decimal"/>
      <w:lvlText w:val="%4."/>
      <w:lvlJc w:val="left"/>
      <w:pPr>
        <w:ind w:left="2880" w:hanging="360"/>
      </w:pPr>
    </w:lvl>
    <w:lvl w:ilvl="4" w:tplc="287432DC">
      <w:start w:val="1"/>
      <w:numFmt w:val="lowerLetter"/>
      <w:lvlText w:val="%5."/>
      <w:lvlJc w:val="left"/>
      <w:pPr>
        <w:ind w:left="3600" w:hanging="360"/>
      </w:pPr>
    </w:lvl>
    <w:lvl w:ilvl="5" w:tplc="880EE604">
      <w:start w:val="1"/>
      <w:numFmt w:val="lowerRoman"/>
      <w:lvlText w:val="%6."/>
      <w:lvlJc w:val="right"/>
      <w:pPr>
        <w:ind w:left="4320" w:hanging="180"/>
      </w:pPr>
    </w:lvl>
    <w:lvl w:ilvl="6" w:tplc="C832CD42">
      <w:start w:val="1"/>
      <w:numFmt w:val="decimal"/>
      <w:lvlText w:val="%7."/>
      <w:lvlJc w:val="left"/>
      <w:pPr>
        <w:ind w:left="5040" w:hanging="360"/>
      </w:pPr>
    </w:lvl>
    <w:lvl w:ilvl="7" w:tplc="F1D41ABA">
      <w:start w:val="1"/>
      <w:numFmt w:val="lowerLetter"/>
      <w:lvlText w:val="%8."/>
      <w:lvlJc w:val="left"/>
      <w:pPr>
        <w:ind w:left="5760" w:hanging="360"/>
      </w:pPr>
    </w:lvl>
    <w:lvl w:ilvl="8" w:tplc="B34A957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016F8"/>
    <w:multiLevelType w:val="hybridMultilevel"/>
    <w:tmpl w:val="D27A42F2"/>
    <w:lvl w:ilvl="0" w:tplc="968E55EC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D17AC43E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3BD238B0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0CB60BA2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B18CB808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9F422D34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78E67E0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99F62006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0616BD3A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num w:numId="1">
    <w:abstractNumId w:val="15"/>
  </w:num>
  <w:num w:numId="2">
    <w:abstractNumId w:val="1"/>
  </w:num>
  <w:num w:numId="3">
    <w:abstractNumId w:val="6"/>
  </w:num>
  <w:num w:numId="4">
    <w:abstractNumId w:val="16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12"/>
  </w:num>
  <w:num w:numId="10">
    <w:abstractNumId w:val="11"/>
  </w:num>
  <w:num w:numId="11">
    <w:abstractNumId w:val="13"/>
  </w:num>
  <w:num w:numId="12">
    <w:abstractNumId w:val="3"/>
  </w:num>
  <w:num w:numId="13">
    <w:abstractNumId w:val="9"/>
  </w:num>
  <w:num w:numId="14">
    <w:abstractNumId w:val="10"/>
  </w:num>
  <w:num w:numId="15">
    <w:abstractNumId w:val="14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C09"/>
    <w:rsid w:val="00356D7F"/>
    <w:rsid w:val="00421B2A"/>
    <w:rsid w:val="005A4C09"/>
    <w:rsid w:val="00D37959"/>
    <w:rsid w:val="00DD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9B0F8-737D-4A82-873A-38E423D2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/>
      <w:sz w:val="18"/>
      <w:szCs w:val="18"/>
      <w:lang w:eastAsia="en-US"/>
    </w:r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Pr>
      <w:sz w:val="22"/>
      <w:szCs w:val="22"/>
      <w:lang w:eastAsia="en-US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sz w:val="22"/>
      <w:szCs w:val="22"/>
      <w:lang w:eastAsia="en-US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lang w:eastAsia="en-US"/>
    </w:rPr>
  </w:style>
  <w:style w:type="paragraph" w:styleId="aff1">
    <w:name w:val="Revision"/>
    <w:hidden/>
    <w:uiPriority w:val="99"/>
    <w:semiHidden/>
    <w:rPr>
      <w:sz w:val="22"/>
      <w:szCs w:val="22"/>
      <w:lang w:eastAsia="en-US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table" w:customStyle="1" w:styleId="13">
    <w:name w:val="Сетка таблицы1"/>
    <w:basedOn w:val="a1"/>
    <w:next w:val="af4"/>
    <w:uiPriority w:val="5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Текст1"/>
    <w:uiPriority w:val="99"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Theme="minorEastAsia" w:cs="Calibri"/>
      <w:sz w:val="22"/>
      <w:szCs w:val="22"/>
      <w:lang w:eastAsia="en-US"/>
    </w:rPr>
  </w:style>
  <w:style w:type="paragraph" w:customStyle="1" w:styleId="15">
    <w:name w:val="Обычный (веб)1"/>
    <w:basedOn w:val="aff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 w:val="0"/>
      <w:bCs w:val="0"/>
      <w:sz w:val="24"/>
      <w:szCs w:val="24"/>
      <w:lang w:eastAsia="ru-RU"/>
    </w:rPr>
  </w:style>
  <w:style w:type="character" w:styleId="aff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8E4DA-5B71-4D68-8EC3-1F25299E0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2383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МГТС</Company>
  <LinksUpToDate>false</LinksUpToDate>
  <CharactersWithSpaces>15936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Горячкина Марина Петровна</dc:creator>
  <cp:lastModifiedBy>Годына Анастасия Владимировна</cp:lastModifiedBy>
  <cp:revision>2</cp:revision>
  <dcterms:created xsi:type="dcterms:W3CDTF">2026-02-25T05:52:00Z</dcterms:created>
  <dcterms:modified xsi:type="dcterms:W3CDTF">2026-02-25T05:52:00Z</dcterms:modified>
</cp:coreProperties>
</file>